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u w:val="none"/>
        </w:rPr>
      </w:pPr>
    </w:p>
    <w:p>
      <w:pPr>
        <w:jc w:val="center"/>
        <w:rPr>
          <w:rFonts w:hint="eastAsia"/>
          <w:sz w:val="52"/>
          <w:szCs w:val="52"/>
          <w:u w:val="none"/>
        </w:rPr>
      </w:pPr>
    </w:p>
    <w:p>
      <w:pPr>
        <w:jc w:val="center"/>
        <w:rPr>
          <w:rFonts w:hint="eastAsia"/>
          <w:sz w:val="52"/>
          <w:szCs w:val="52"/>
          <w:u w:val="none"/>
        </w:rPr>
      </w:pPr>
    </w:p>
    <w:p>
      <w:pPr>
        <w:jc w:val="center"/>
        <w:rPr>
          <w:rFonts w:hint="eastAsia"/>
          <w:sz w:val="52"/>
          <w:szCs w:val="52"/>
          <w:u w:val="none"/>
        </w:rPr>
      </w:pPr>
    </w:p>
    <w:p>
      <w:pPr>
        <w:jc w:val="center"/>
        <w:rPr>
          <w:sz w:val="52"/>
          <w:szCs w:val="52"/>
        </w:rPr>
      </w:pPr>
      <w:r>
        <w:rPr>
          <w:rFonts w:hint="eastAsia"/>
          <w:sz w:val="52"/>
          <w:szCs w:val="52"/>
        </w:rPr>
        <w:t>202</w:t>
      </w:r>
      <w:r>
        <w:rPr>
          <w:rFonts w:hint="eastAsia"/>
          <w:sz w:val="52"/>
          <w:szCs w:val="52"/>
          <w:lang w:val="en-US" w:eastAsia="zh-CN"/>
        </w:rPr>
        <w:t>4</w:t>
      </w:r>
      <w:r>
        <w:rPr>
          <w:rFonts w:hint="eastAsia"/>
          <w:sz w:val="52"/>
          <w:szCs w:val="52"/>
        </w:rPr>
        <w:t>年海南省农业科学院南繁育种研究中心单位预算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4"/>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sz w:val="32"/>
          <w:szCs w:val="32"/>
        </w:rPr>
        <w:t>海南省农业科学院南繁育种研究中心</w:t>
      </w:r>
      <w:r>
        <w:rPr>
          <w:rFonts w:hint="eastAsia" w:ascii="黑体" w:hAnsi="黑体" w:eastAsia="黑体"/>
          <w:sz w:val="32"/>
          <w:szCs w:val="32"/>
          <w:u w:val="none"/>
        </w:rPr>
        <w:t>概况</w:t>
      </w:r>
    </w:p>
    <w:p>
      <w:pPr>
        <w:pStyle w:val="5"/>
        <w:numPr>
          <w:ilvl w:val="0"/>
          <w:numId w:val="2"/>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4"/>
        <w:numPr>
          <w:ilvl w:val="0"/>
          <w:numId w:val="0"/>
        </w:numPr>
        <w:ind w:leftChars="0"/>
        <w:jc w:val="left"/>
        <w:rPr>
          <w:rFonts w:ascii="黑体" w:hAnsi="黑体" w:eastAsia="黑体"/>
          <w:sz w:val="32"/>
          <w:szCs w:val="32"/>
          <w:u w:val="none"/>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机构设置</w:t>
      </w:r>
    </w:p>
    <w:p>
      <w:pPr>
        <w:pStyle w:val="4"/>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年单位预算表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4"/>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4"/>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4"/>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4"/>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4"/>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4"/>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年部单位预算情况说明</w:t>
      </w:r>
    </w:p>
    <w:p>
      <w:pPr>
        <w:pStyle w:val="4"/>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4"/>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4"/>
        <w:numPr>
          <w:ilvl w:val="0"/>
          <w:numId w:val="3"/>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rPr>
        <w:t>海南省农业科学院南繁育种研究中心</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5"/>
        <w:numPr>
          <w:ilvl w:val="0"/>
          <w:numId w:val="4"/>
        </w:numPr>
        <w:ind w:firstLineChars="0"/>
        <w:jc w:val="left"/>
        <w:rPr>
          <w:rFonts w:ascii="黑体" w:hAnsi="黑体" w:eastAsia="黑体" w:cs="仿宋_GB2312"/>
          <w:sz w:val="32"/>
          <w:szCs w:val="32"/>
        </w:rPr>
      </w:pPr>
      <w:bookmarkStart w:id="0" w:name="_GoBack"/>
      <w:bookmarkEnd w:id="0"/>
      <w:r>
        <w:rPr>
          <w:rFonts w:hint="eastAsia" w:ascii="黑体" w:hAnsi="黑体" w:eastAsia="黑体" w:cs="仿宋_GB2312"/>
          <w:sz w:val="32"/>
          <w:szCs w:val="32"/>
        </w:rPr>
        <w:t>主要职能</w:t>
      </w:r>
    </w:p>
    <w:p>
      <w:pPr>
        <w:spacing w:line="600" w:lineRule="atLeas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南繁育种研究中心开展热带农作物良种繁育、保种及栽培等配套技术研究；开展腰果种质资源的收集、鉴定、评价、保存及创新利用；承担农作物品种南繁育种,研究南繁育种大宗作物不同地理气候条件变异规律；承担国家、省(部)南繁育种平台建设与管理,为全国南繁育种和促进热带农业发展提供科技支撑；为全国南繁育种提供技术服务,开展相关技术培训、技术服务。</w:t>
      </w:r>
    </w:p>
    <w:p>
      <w:pPr>
        <w:shd w:val="clear" w:fill="FFFFFF"/>
        <w:spacing w:before="0" w:beforeAutospacing="1" w:after="0" w:afterAutospacing="1"/>
        <w:ind w:left="0" w:firstLine="640" w:firstLineChars="200"/>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二、机构设置</w:t>
      </w:r>
    </w:p>
    <w:p>
      <w:pPr>
        <w:spacing w:before="0" w:beforeAutospacing="1" w:after="0" w:afterAutospacing="1"/>
        <w:ind w:left="0" w:firstLine="640" w:firstLineChars="200"/>
        <w:rPr>
          <w:rFonts w:hint="default" w:ascii="仿宋_GB2312" w:eastAsia="仿宋_GB2312" w:cs="仿宋_GB2312"/>
          <w:color w:val="000000"/>
          <w:kern w:val="0"/>
          <w:sz w:val="32"/>
          <w:szCs w:val="32"/>
        </w:rPr>
      </w:pPr>
      <w:r>
        <w:rPr>
          <w:rFonts w:hint="default" w:ascii="仿宋_GB2312" w:eastAsia="仿宋_GB2312" w:cs="仿宋_GB2312"/>
          <w:kern w:val="0"/>
          <w:sz w:val="32"/>
          <w:szCs w:val="32"/>
        </w:rPr>
        <w:t>根据省机构编制委员会办公室文件规定</w:t>
      </w:r>
      <w:r>
        <w:rPr>
          <w:rFonts w:hint="default" w:ascii="仿宋_GB2312" w:eastAsia="仿宋_GB2312" w:cs="仿宋_GB2312"/>
          <w:color w:val="000000"/>
          <w:kern w:val="0"/>
          <w:sz w:val="32"/>
          <w:szCs w:val="32"/>
        </w:rPr>
        <w:t>，我所有办公室、 粮油南繁育种研究室、瓜菜南繁育种研究室3个科室。</w:t>
      </w:r>
    </w:p>
    <w:p>
      <w:pPr>
        <w:ind w:left="640" w:leftChars="305" w:firstLine="160" w:firstLineChars="50"/>
        <w:jc w:val="left"/>
        <w:rPr>
          <w:rFonts w:ascii="仿宋_GB2312" w:hAnsi="黑体" w:eastAsia="仿宋_GB2312" w:cs="仿宋_GB2312"/>
          <w:sz w:val="32"/>
          <w:szCs w:val="32"/>
          <w:u w:val="none"/>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年单位预算表</w:t>
      </w:r>
    </w:p>
    <w:p>
      <w:pPr>
        <w:ind w:left="800"/>
        <w:jc w:val="left"/>
        <w:rPr>
          <w:rFonts w:ascii="黑体" w:hAnsi="黑体" w:eastAsia="黑体"/>
          <w:sz w:val="32"/>
          <w:szCs w:val="32"/>
          <w:u w:val="none"/>
        </w:rPr>
      </w:pP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1、财政拨款收支总表（见附表1）</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2、一般公共预算支出表（见附表2）</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3、一般公共预算基本支出表（见附表3）</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4、一般公共预算“三公”经费支出表(见附表4)</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5、政府性基金预算支出表。（见附表5）</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6、政府性基金预算“三公”经费支出表（见附表6）</w:t>
      </w:r>
    </w:p>
    <w:p>
      <w:pPr>
        <w:pStyle w:val="5"/>
        <w:ind w:firstLine="640"/>
        <w:jc w:val="left"/>
        <w:rPr>
          <w:rFonts w:ascii="黑体" w:hAnsi="黑体" w:eastAsia="黑体"/>
          <w:sz w:val="32"/>
          <w:szCs w:val="32"/>
        </w:rPr>
      </w:pPr>
      <w:r>
        <w:rPr>
          <w:rFonts w:hint="eastAsia" w:ascii="仿宋_GB2312" w:hAnsi="仿宋_GB2312" w:eastAsia="仿宋_GB2312" w:cs="仿宋_GB2312"/>
          <w:sz w:val="32"/>
          <w:szCs w:val="32"/>
        </w:rPr>
        <w:t>7、部门（单位）收支总表（见附表7）</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8、部门（单位）收入总表（见附表8）</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9、部门（单位）支出总表（见附表9）</w:t>
      </w:r>
    </w:p>
    <w:p>
      <w:pPr>
        <w:pStyle w:val="5"/>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10、项目支出绩效信息表（见附表10）</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年单位预算情况说明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cs="仿宋_GB2312"/>
          <w:sz w:val="32"/>
          <w:szCs w:val="32"/>
        </w:rPr>
        <w:t>海南省农业科学院南繁育种研究中心</w:t>
      </w:r>
      <w:r>
        <w:rPr>
          <w:rFonts w:hint="eastAsia" w:ascii="仿宋_GB2312" w:hAnsi="黑体" w:eastAsia="仿宋_GB2312"/>
          <w:sz w:val="32"/>
          <w:szCs w:val="32"/>
        </w:rPr>
        <w:t>公益二类单位，自收自支，202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年无财政拨款收支</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本单位202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年无一般公共预算</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本单位202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年无一般公共预算</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本单位202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年无一般公共预算</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海南省农业科学院南繁育种研究中心202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年无一般公共预算基本支出。</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（一）本单位202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年无一般公共预算“三公”经费预算</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（二）本单位202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年无政府性基金预算“三公”经费预算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本单位202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年无政府性基金预算</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本单位202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年无政府性基金预算当年拨款结构</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本单位202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年无政府性基金预算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按照综合预算原则，海南省农业科学院南繁育种研究中心所有收入和支出均纳入部门预算管理。收入包括：</w:t>
      </w:r>
      <w:r>
        <w:rPr>
          <w:rFonts w:hint="eastAsia" w:ascii="仿宋_GB2312" w:hAnsi="黑体" w:eastAsia="仿宋_GB2312" w:cs="仿宋_GB2312"/>
          <w:sz w:val="32"/>
          <w:szCs w:val="32"/>
          <w:lang w:eastAsia="zh-CN"/>
        </w:rPr>
        <w:t>上年结转；</w:t>
      </w:r>
      <w:r>
        <w:rPr>
          <w:rFonts w:hint="eastAsia" w:ascii="仿宋_GB2312" w:hAnsi="黑体" w:eastAsia="仿宋_GB2312" w:cs="仿宋_GB2312"/>
          <w:sz w:val="32"/>
          <w:szCs w:val="32"/>
        </w:rPr>
        <w:t>事业收入</w:t>
      </w:r>
      <w:r>
        <w:rPr>
          <w:rFonts w:hint="eastAsia" w:ascii="仿宋_GB2312" w:hAnsi="黑体" w:eastAsia="仿宋_GB2312"/>
          <w:sz w:val="32"/>
          <w:szCs w:val="32"/>
        </w:rPr>
        <w:t>；支出包括科学技术支出。</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海南省农业科学院南繁育种研究中心202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291.71</w:t>
      </w:r>
      <w:r>
        <w:rPr>
          <w:rFonts w:hint="eastAsia" w:ascii="仿宋_GB2312" w:hAnsi="黑体" w:eastAsia="仿宋_GB2312"/>
          <w:sz w:val="32"/>
          <w:szCs w:val="32"/>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海南省农业科学院南繁育种研究中心202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291.71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3.43</w:t>
      </w:r>
      <w:r>
        <w:rPr>
          <w:rFonts w:hint="eastAsia" w:ascii="仿宋_GB2312" w:hAnsi="黑体" w:eastAsia="仿宋_GB2312"/>
          <w:sz w:val="32"/>
          <w:szCs w:val="32"/>
        </w:rPr>
        <w:t>%；事业收入</w:t>
      </w:r>
      <w:r>
        <w:rPr>
          <w:rFonts w:hint="eastAsia" w:ascii="仿宋_GB2312" w:hAnsi="黑体" w:eastAsia="仿宋_GB2312" w:cs="仿宋_GB2312"/>
          <w:sz w:val="32"/>
          <w:szCs w:val="32"/>
          <w:lang w:val="en-US" w:eastAsia="zh-CN"/>
        </w:rPr>
        <w:t>281.71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96.57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36.39</w:t>
      </w:r>
      <w:r>
        <w:rPr>
          <w:rFonts w:hint="eastAsia" w:ascii="仿宋_GB2312" w:hAnsi="黑体" w:eastAsia="仿宋_GB2312"/>
          <w:sz w:val="32"/>
          <w:szCs w:val="32"/>
        </w:rPr>
        <w:t>万元，主要是科研项目经费和上年结转</w:t>
      </w:r>
      <w:r>
        <w:rPr>
          <w:rFonts w:hint="eastAsia" w:ascii="仿宋_GB2312" w:hAnsi="黑体" w:eastAsia="仿宋_GB2312"/>
          <w:sz w:val="32"/>
          <w:szCs w:val="32"/>
          <w:lang w:eastAsia="zh-CN"/>
        </w:rPr>
        <w:t>比上年增加</w:t>
      </w:r>
      <w:r>
        <w:rPr>
          <w:rFonts w:hint="eastAsia" w:ascii="仿宋_GB2312" w:hAnsi="黑体" w:eastAsia="仿宋_GB2312"/>
          <w:sz w:val="32"/>
          <w:szCs w:val="32"/>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sz w:val="32"/>
          <w:szCs w:val="32"/>
        </w:rPr>
        <w:t>海南省农业科学院南繁育种研究中心</w:t>
      </w:r>
      <w:r>
        <w:rPr>
          <w:rFonts w:hint="eastAsia" w:ascii="黑体" w:hAnsi="黑体" w:eastAsia="黑体"/>
          <w:sz w:val="32"/>
          <w:szCs w:val="32"/>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rPr>
        <w:t>海南省农业科学院南繁育种研究中心202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lang w:val="en-US" w:eastAsia="zh-CN"/>
        </w:rPr>
        <w:t>291.71</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123.97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42.50</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167.73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57.5</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136.39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2023年海南腰果研究中心并入我单位，腰果中心的人员并入我单位为长期派遣人员，其相应的人员费用相对应的增加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仿宋_GB2312" w:hAnsi="黑体" w:eastAsia="仿宋_GB2312"/>
          <w:sz w:val="32"/>
          <w:szCs w:val="32"/>
        </w:rPr>
      </w:pPr>
      <w:r>
        <w:rPr>
          <w:rFonts w:hint="eastAsia" w:ascii="楷体" w:hAnsi="楷体" w:eastAsia="楷体"/>
          <w:sz w:val="32"/>
          <w:szCs w:val="32"/>
          <w:u w:val="none"/>
        </w:rPr>
        <w:t>（一）机关运行经费</w:t>
      </w:r>
      <w:r>
        <w:rPr>
          <w:rFonts w:hint="eastAsia" w:ascii="仿宋_GB2312" w:hAnsi="黑体" w:eastAsia="仿宋_GB2312"/>
          <w:sz w:val="32"/>
          <w:szCs w:val="32"/>
        </w:rPr>
        <w:t>本</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rPr>
        <w:t>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年无机关运行经费</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本单位202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年无政府采购预算</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海南省农业科学院南繁育种研究中心预算单位保有量车辆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辆，其中，必要业务用车1辆。</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rPr>
        <w:t>海南省农业科学院南繁育种研究中心</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个项目实行绩效目标管理，涉及</w:t>
      </w:r>
      <w:r>
        <w:rPr>
          <w:rFonts w:hint="eastAsia" w:ascii="仿宋_GB2312" w:hAnsi="黑体" w:eastAsia="仿宋_GB2312"/>
          <w:sz w:val="32"/>
          <w:szCs w:val="32"/>
        </w:rPr>
        <w:t>单位资金</w:t>
      </w:r>
      <w:r>
        <w:rPr>
          <w:rFonts w:hint="eastAsia" w:ascii="仿宋_GB2312" w:hAnsi="黑体" w:eastAsia="仿宋_GB2312"/>
          <w:sz w:val="32"/>
          <w:szCs w:val="32"/>
          <w:lang w:val="en-US" w:eastAsia="zh-CN"/>
        </w:rPr>
        <w:t>291.7</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u w:val="none"/>
        </w:rPr>
        <w:t>46000021R000000006640-工资奖金津补贴</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54.83</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rPr>
        <w:t>发放在职在岗职工工资，绩效目标是严格执行相关政策，保障工资及时发放、足额发放，预算编制科学合理，减少结余资金。</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46000021T000000113626-南繁中心事业发展资金</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165.23</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rPr>
        <w:t>日常南繁基地的维护管理以及培训交流支出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1、发表科技论文1篇2、维护南繁基地面积600亩3、推广科技成果1项</w:t>
      </w:r>
      <w:r>
        <w:rPr>
          <w:rFonts w:hint="eastAsia" w:ascii="仿宋_GB2312" w:hAnsi="黑体" w:eastAsia="仿宋_GB2312" w:cs="仿宋_GB2312"/>
          <w:sz w:val="32"/>
          <w:szCs w:val="32"/>
          <w:u w:val="none"/>
          <w:lang w:eastAsia="zh-CN"/>
        </w:rPr>
        <w:t>。</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hint="eastAsia" w:ascii="黑体" w:hAnsi="黑体" w:eastAsia="黑体"/>
          <w:b/>
          <w:sz w:val="32"/>
          <w:szCs w:val="32"/>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NGYyYzIxYjQwZWE2OThmYzY1NmJiZjQ5ZjlmN2EifQ=="/>
  </w:docVars>
  <w:rsids>
    <w:rsidRoot w:val="00CC6F6B"/>
    <w:rsid w:val="00CC6F6B"/>
    <w:rsid w:val="04291CBC"/>
    <w:rsid w:val="08817DDB"/>
    <w:rsid w:val="0D0F7C70"/>
    <w:rsid w:val="0D754064"/>
    <w:rsid w:val="0F980C2C"/>
    <w:rsid w:val="15D22E0A"/>
    <w:rsid w:val="1B82273A"/>
    <w:rsid w:val="1E7B1219"/>
    <w:rsid w:val="22ED661C"/>
    <w:rsid w:val="2592115F"/>
    <w:rsid w:val="26413B52"/>
    <w:rsid w:val="26801857"/>
    <w:rsid w:val="2AA859AC"/>
    <w:rsid w:val="30BD016C"/>
    <w:rsid w:val="37B05C62"/>
    <w:rsid w:val="41393CF5"/>
    <w:rsid w:val="42912AD5"/>
    <w:rsid w:val="45E46091"/>
    <w:rsid w:val="468214CD"/>
    <w:rsid w:val="48582D1F"/>
    <w:rsid w:val="4C3E2501"/>
    <w:rsid w:val="51606BFC"/>
    <w:rsid w:val="521E5C7D"/>
    <w:rsid w:val="5B1E3C02"/>
    <w:rsid w:val="633839B4"/>
    <w:rsid w:val="65AD7581"/>
    <w:rsid w:val="6B364C7D"/>
    <w:rsid w:val="724E5D98"/>
    <w:rsid w:val="73E14206"/>
    <w:rsid w:val="747B2602"/>
    <w:rsid w:val="7C38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2930</Words>
  <Characters>3149</Characters>
  <Lines>0</Lines>
  <Paragraphs>0</Paragraphs>
  <TotalTime>2</TotalTime>
  <ScaleCrop>false</ScaleCrop>
  <LinksUpToDate>false</LinksUpToDate>
  <CharactersWithSpaces>3170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2024-02-19T01:37:00Z</dcterms:created>
  <dc:creator>Administrator</dc:creator>
  <cp:lastModifiedBy>Administrator</cp:lastModifiedBy>
  <dcterms:modified xsi:type="dcterms:W3CDTF">2024-02-20T01:10:30Z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EE5EFD0F93ED4B2BBA4457CC7CE8BC23</vt:lpwstr>
  </property>
</Properties>
</file>